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2BF" w:rsidRPr="00C50C25" w:rsidRDefault="00C50C25" w:rsidP="00C50C25">
      <w:pPr>
        <w:rPr>
          <w:rFonts w:ascii="Times New Roman" w:eastAsia="Times New Roman" w:hAnsi="Times New Roman" w:cs="Times New Roman"/>
          <w:color w:val="000000"/>
          <w:sz w:val="24"/>
          <w:szCs w:val="24"/>
        </w:rPr>
      </w:pPr>
      <w:r w:rsidRPr="00C50C25">
        <w:rPr>
          <w:rFonts w:ascii="Times New Roman" w:eastAsia="Times New Roman" w:hAnsi="Times New Roman" w:cs="Times New Roman"/>
          <w:b/>
          <w:bCs/>
          <w:color w:val="000000"/>
          <w:sz w:val="24"/>
          <w:szCs w:val="24"/>
        </w:rPr>
        <w:t>PREVALENCE OF PAROXYSMAL SUPRAVENTRICULAR TACHYCARDIA (PSVT) IN THE UNITED STATES IN PATIENTS UNDER 65 YEARS OF AGE</w:t>
      </w:r>
    </w:p>
    <w:p w:rsidR="00C50C25" w:rsidRDefault="008412BF" w:rsidP="00C50C25">
      <w:pPr>
        <w:rPr>
          <w:rFonts w:ascii="Times New Roman" w:eastAsia="Times New Roman" w:hAnsi="Times New Roman" w:cs="Times New Roman"/>
          <w:color w:val="000000"/>
          <w:sz w:val="24"/>
          <w:szCs w:val="24"/>
          <w:vertAlign w:val="superscript"/>
        </w:rPr>
      </w:pPr>
      <w:r w:rsidRPr="00C50C25">
        <w:rPr>
          <w:rFonts w:ascii="Times New Roman" w:eastAsia="Times New Roman" w:hAnsi="Times New Roman" w:cs="Times New Roman"/>
          <w:b/>
          <w:bCs/>
          <w:color w:val="000000"/>
          <w:sz w:val="24"/>
          <w:szCs w:val="24"/>
          <w:u w:val="single"/>
        </w:rPr>
        <w:t>N.C. Sacks</w:t>
      </w:r>
      <w:r w:rsidRPr="00C50C25">
        <w:rPr>
          <w:rFonts w:ascii="Times New Roman" w:eastAsia="Times New Roman" w:hAnsi="Times New Roman" w:cs="Times New Roman"/>
          <w:color w:val="000000"/>
          <w:sz w:val="24"/>
          <w:szCs w:val="24"/>
          <w:u w:val="single"/>
          <w:vertAlign w:val="superscript"/>
        </w:rPr>
        <w:t>1</w:t>
      </w:r>
      <w:r w:rsidRPr="00C50C25">
        <w:rPr>
          <w:rFonts w:ascii="Times New Roman" w:eastAsia="Times New Roman" w:hAnsi="Times New Roman" w:cs="Times New Roman"/>
          <w:color w:val="000000"/>
          <w:sz w:val="24"/>
          <w:szCs w:val="24"/>
        </w:rPr>
        <w:t>, P.L. Cyr</w:t>
      </w:r>
      <w:r w:rsidRPr="00C50C25">
        <w:rPr>
          <w:rFonts w:ascii="Times New Roman" w:eastAsia="Times New Roman" w:hAnsi="Times New Roman" w:cs="Times New Roman"/>
          <w:color w:val="000000"/>
          <w:sz w:val="24"/>
          <w:szCs w:val="24"/>
          <w:vertAlign w:val="superscript"/>
        </w:rPr>
        <w:t>1</w:t>
      </w:r>
      <w:r w:rsidRPr="00C50C25">
        <w:rPr>
          <w:rFonts w:ascii="Times New Roman" w:eastAsia="Times New Roman" w:hAnsi="Times New Roman" w:cs="Times New Roman"/>
          <w:color w:val="000000"/>
          <w:sz w:val="24"/>
          <w:szCs w:val="24"/>
        </w:rPr>
        <w:t>, S. Bariahtaris</w:t>
      </w:r>
      <w:r w:rsidRPr="00C50C25">
        <w:rPr>
          <w:rFonts w:ascii="Times New Roman" w:eastAsia="Times New Roman" w:hAnsi="Times New Roman" w:cs="Times New Roman"/>
          <w:color w:val="000000"/>
          <w:sz w:val="24"/>
          <w:szCs w:val="24"/>
          <w:vertAlign w:val="superscript"/>
        </w:rPr>
        <w:t>2</w:t>
      </w:r>
      <w:r w:rsidRPr="00C50C25">
        <w:rPr>
          <w:rFonts w:ascii="Times New Roman" w:eastAsia="Times New Roman" w:hAnsi="Times New Roman" w:cs="Times New Roman"/>
          <w:color w:val="000000"/>
          <w:sz w:val="24"/>
          <w:szCs w:val="24"/>
        </w:rPr>
        <w:t>, A. Sharma</w:t>
      </w:r>
      <w:r w:rsidRPr="00C50C25">
        <w:rPr>
          <w:rFonts w:ascii="Times New Roman" w:eastAsia="Times New Roman" w:hAnsi="Times New Roman" w:cs="Times New Roman"/>
          <w:color w:val="000000"/>
          <w:sz w:val="24"/>
          <w:szCs w:val="24"/>
          <w:vertAlign w:val="superscript"/>
        </w:rPr>
        <w:t>3</w:t>
      </w:r>
      <w:r w:rsidRPr="00C50C25">
        <w:rPr>
          <w:rFonts w:ascii="Times New Roman" w:eastAsia="Times New Roman" w:hAnsi="Times New Roman" w:cs="Times New Roman"/>
          <w:color w:val="000000"/>
          <w:sz w:val="24"/>
          <w:szCs w:val="24"/>
        </w:rPr>
        <w:t>, S.G. Green</w:t>
      </w:r>
      <w:r w:rsidRPr="00C50C25">
        <w:rPr>
          <w:rFonts w:ascii="Times New Roman" w:eastAsia="Times New Roman" w:hAnsi="Times New Roman" w:cs="Times New Roman"/>
          <w:color w:val="000000"/>
          <w:sz w:val="24"/>
          <w:szCs w:val="24"/>
          <w:vertAlign w:val="superscript"/>
        </w:rPr>
        <w:t>4</w:t>
      </w:r>
      <w:r w:rsidRPr="00C50C25">
        <w:rPr>
          <w:rFonts w:ascii="Times New Roman" w:eastAsia="Times New Roman" w:hAnsi="Times New Roman" w:cs="Times New Roman"/>
          <w:color w:val="000000"/>
          <w:sz w:val="24"/>
          <w:szCs w:val="24"/>
        </w:rPr>
        <w:t>, P. Douville</w:t>
      </w:r>
      <w:r w:rsidRPr="00C50C25">
        <w:rPr>
          <w:rFonts w:ascii="Times New Roman" w:eastAsia="Times New Roman" w:hAnsi="Times New Roman" w:cs="Times New Roman"/>
          <w:color w:val="000000"/>
          <w:sz w:val="24"/>
          <w:szCs w:val="24"/>
          <w:vertAlign w:val="superscript"/>
        </w:rPr>
        <w:t>5</w:t>
      </w:r>
      <w:r w:rsidRPr="00C50C25">
        <w:rPr>
          <w:rFonts w:ascii="Times New Roman" w:eastAsia="Times New Roman" w:hAnsi="Times New Roman" w:cs="Times New Roman"/>
          <w:color w:val="000000"/>
          <w:sz w:val="24"/>
          <w:szCs w:val="24"/>
        </w:rPr>
        <w:t>, J.N. Ruskin</w:t>
      </w:r>
      <w:r w:rsidRPr="00C50C25">
        <w:rPr>
          <w:rFonts w:ascii="Times New Roman" w:eastAsia="Times New Roman" w:hAnsi="Times New Roman" w:cs="Times New Roman"/>
          <w:color w:val="000000"/>
          <w:sz w:val="24"/>
          <w:szCs w:val="24"/>
          <w:vertAlign w:val="superscript"/>
        </w:rPr>
        <w:t>6</w:t>
      </w:r>
    </w:p>
    <w:p w:rsidR="00C50C25" w:rsidRDefault="008412BF" w:rsidP="00C50C25">
      <w:pPr>
        <w:rPr>
          <w:rFonts w:ascii="Times New Roman" w:eastAsia="Times New Roman" w:hAnsi="Times New Roman" w:cs="Times New Roman"/>
          <w:color w:val="000000"/>
          <w:sz w:val="24"/>
          <w:szCs w:val="24"/>
        </w:rPr>
      </w:pPr>
      <w:r w:rsidRPr="00C50C25">
        <w:rPr>
          <w:rFonts w:ascii="Times New Roman" w:eastAsia="Times New Roman" w:hAnsi="Times New Roman" w:cs="Times New Roman"/>
          <w:color w:val="000000"/>
          <w:sz w:val="24"/>
          <w:szCs w:val="24"/>
          <w:vertAlign w:val="superscript"/>
        </w:rPr>
        <w:t>1</w:t>
      </w:r>
      <w:r w:rsidRPr="00C50C25">
        <w:rPr>
          <w:rFonts w:ascii="Times New Roman" w:eastAsia="Times New Roman" w:hAnsi="Times New Roman" w:cs="Times New Roman"/>
          <w:color w:val="000000"/>
          <w:sz w:val="24"/>
          <w:szCs w:val="24"/>
        </w:rPr>
        <w:t>Precision Xtract, Boston, MA, USA</w:t>
      </w:r>
    </w:p>
    <w:p w:rsidR="00C50C25" w:rsidRDefault="008412BF" w:rsidP="00C50C25">
      <w:pPr>
        <w:rPr>
          <w:rFonts w:ascii="Times New Roman" w:eastAsia="Times New Roman" w:hAnsi="Times New Roman" w:cs="Times New Roman"/>
          <w:color w:val="000000"/>
          <w:sz w:val="24"/>
          <w:szCs w:val="24"/>
        </w:rPr>
      </w:pPr>
      <w:r w:rsidRPr="00C50C25">
        <w:rPr>
          <w:rFonts w:ascii="Times New Roman" w:eastAsia="Times New Roman" w:hAnsi="Times New Roman" w:cs="Times New Roman"/>
          <w:color w:val="000000"/>
          <w:sz w:val="24"/>
          <w:szCs w:val="24"/>
          <w:vertAlign w:val="superscript"/>
        </w:rPr>
        <w:t>2</w:t>
      </w:r>
      <w:r w:rsidRPr="00C50C25">
        <w:rPr>
          <w:rFonts w:ascii="Times New Roman" w:eastAsia="Times New Roman" w:hAnsi="Times New Roman" w:cs="Times New Roman"/>
          <w:color w:val="000000"/>
          <w:sz w:val="24"/>
          <w:szCs w:val="24"/>
        </w:rPr>
        <w:t>Value Dimensions LLC, Newton, PA, USA</w:t>
      </w:r>
    </w:p>
    <w:p w:rsidR="00C50C25" w:rsidRDefault="008412BF" w:rsidP="00C50C25">
      <w:pPr>
        <w:rPr>
          <w:rFonts w:ascii="Times New Roman" w:eastAsia="Times New Roman" w:hAnsi="Times New Roman" w:cs="Times New Roman"/>
          <w:color w:val="000000"/>
          <w:sz w:val="24"/>
          <w:szCs w:val="24"/>
        </w:rPr>
      </w:pPr>
      <w:r w:rsidRPr="00C50C25">
        <w:rPr>
          <w:rFonts w:ascii="Times New Roman" w:eastAsia="Times New Roman" w:hAnsi="Times New Roman" w:cs="Times New Roman"/>
          <w:color w:val="000000"/>
          <w:sz w:val="24"/>
          <w:szCs w:val="24"/>
          <w:vertAlign w:val="superscript"/>
        </w:rPr>
        <w:t>3</w:t>
      </w:r>
      <w:r w:rsidRPr="00C50C25">
        <w:rPr>
          <w:rFonts w:ascii="Times New Roman" w:eastAsia="Times New Roman" w:hAnsi="Times New Roman" w:cs="Times New Roman"/>
          <w:color w:val="000000"/>
          <w:sz w:val="24"/>
          <w:szCs w:val="24"/>
        </w:rPr>
        <w:t>Precision Xtract, Vancouver, BC, Canada</w:t>
      </w:r>
    </w:p>
    <w:p w:rsidR="00C50C25" w:rsidRDefault="008412BF" w:rsidP="00C50C25">
      <w:pPr>
        <w:rPr>
          <w:rFonts w:ascii="Times New Roman" w:eastAsia="Times New Roman" w:hAnsi="Times New Roman" w:cs="Times New Roman"/>
          <w:color w:val="000000"/>
          <w:sz w:val="24"/>
          <w:szCs w:val="24"/>
        </w:rPr>
      </w:pPr>
      <w:r w:rsidRPr="00C50C25">
        <w:rPr>
          <w:rFonts w:ascii="Times New Roman" w:eastAsia="Times New Roman" w:hAnsi="Times New Roman" w:cs="Times New Roman"/>
          <w:color w:val="000000"/>
          <w:sz w:val="24"/>
          <w:szCs w:val="24"/>
          <w:vertAlign w:val="superscript"/>
        </w:rPr>
        <w:t>4</w:t>
      </w:r>
      <w:r w:rsidRPr="00C50C25">
        <w:rPr>
          <w:rFonts w:ascii="Times New Roman" w:eastAsia="Times New Roman" w:hAnsi="Times New Roman" w:cs="Times New Roman"/>
          <w:color w:val="000000"/>
          <w:sz w:val="24"/>
          <w:szCs w:val="24"/>
        </w:rPr>
        <w:t>Precision Health Economics, Los Angeles, CA, USA</w:t>
      </w:r>
    </w:p>
    <w:p w:rsidR="00C50C25" w:rsidRDefault="008412BF" w:rsidP="00C50C25">
      <w:pPr>
        <w:rPr>
          <w:rFonts w:ascii="Times New Roman" w:eastAsia="Times New Roman" w:hAnsi="Times New Roman" w:cs="Times New Roman"/>
          <w:color w:val="000000"/>
          <w:sz w:val="24"/>
          <w:szCs w:val="24"/>
        </w:rPr>
      </w:pPr>
      <w:r w:rsidRPr="00C50C25">
        <w:rPr>
          <w:rFonts w:ascii="Times New Roman" w:eastAsia="Times New Roman" w:hAnsi="Times New Roman" w:cs="Times New Roman"/>
          <w:color w:val="000000"/>
          <w:sz w:val="24"/>
          <w:szCs w:val="24"/>
          <w:vertAlign w:val="superscript"/>
        </w:rPr>
        <w:t>5</w:t>
      </w:r>
      <w:r w:rsidRPr="00C50C25">
        <w:rPr>
          <w:rFonts w:ascii="Times New Roman" w:eastAsia="Times New Roman" w:hAnsi="Times New Roman" w:cs="Times New Roman"/>
          <w:color w:val="000000"/>
          <w:sz w:val="24"/>
          <w:szCs w:val="24"/>
        </w:rPr>
        <w:t>Milestone Pharmaceuticals Inc., Montreal, QC, Canada</w:t>
      </w:r>
    </w:p>
    <w:p w:rsidR="008412BF" w:rsidRDefault="008412BF" w:rsidP="00C50C25">
      <w:pPr>
        <w:rPr>
          <w:rFonts w:ascii="Times New Roman" w:eastAsia="Times New Roman" w:hAnsi="Times New Roman" w:cs="Times New Roman"/>
          <w:color w:val="000000"/>
          <w:sz w:val="24"/>
          <w:szCs w:val="24"/>
        </w:rPr>
      </w:pPr>
      <w:r w:rsidRPr="00C50C25">
        <w:rPr>
          <w:rFonts w:ascii="Times New Roman" w:eastAsia="Times New Roman" w:hAnsi="Times New Roman" w:cs="Times New Roman"/>
          <w:color w:val="000000"/>
          <w:sz w:val="24"/>
          <w:szCs w:val="24"/>
          <w:vertAlign w:val="superscript"/>
        </w:rPr>
        <w:t>6</w:t>
      </w:r>
      <w:r w:rsidRPr="00C50C25">
        <w:rPr>
          <w:rFonts w:ascii="Times New Roman" w:eastAsia="Times New Roman" w:hAnsi="Times New Roman" w:cs="Times New Roman"/>
          <w:color w:val="000000"/>
          <w:sz w:val="24"/>
          <w:szCs w:val="24"/>
        </w:rPr>
        <w:t>Massachusetts General Hospital, Boston, MA, USA</w:t>
      </w:r>
    </w:p>
    <w:p w:rsidR="00C50C25" w:rsidRPr="00C50C25" w:rsidRDefault="00C50C25" w:rsidP="00C50C25">
      <w:pPr>
        <w:rPr>
          <w:rFonts w:ascii="Times New Roman" w:eastAsia="Times New Roman" w:hAnsi="Times New Roman" w:cs="Times New Roman"/>
          <w:color w:val="000000"/>
          <w:sz w:val="24"/>
          <w:szCs w:val="24"/>
        </w:rPr>
      </w:pPr>
    </w:p>
    <w:p w:rsidR="00C50C25" w:rsidRDefault="008412BF" w:rsidP="00C50C25">
      <w:pPr>
        <w:jc w:val="both"/>
        <w:rPr>
          <w:rFonts w:ascii="Times New Roman" w:eastAsia="Times New Roman" w:hAnsi="Times New Roman" w:cs="Times New Roman"/>
          <w:color w:val="000000"/>
          <w:sz w:val="24"/>
          <w:szCs w:val="24"/>
        </w:rPr>
      </w:pPr>
      <w:r w:rsidRPr="00C50C25">
        <w:rPr>
          <w:rFonts w:ascii="Times New Roman" w:eastAsia="Times New Roman" w:hAnsi="Times New Roman" w:cs="Times New Roman"/>
          <w:b/>
          <w:bCs/>
          <w:color w:val="000000"/>
          <w:sz w:val="24"/>
          <w:szCs w:val="24"/>
        </w:rPr>
        <w:t>Objective</w:t>
      </w:r>
      <w:r w:rsidRPr="00C50C25">
        <w:rPr>
          <w:rFonts w:ascii="Times New Roman" w:eastAsia="Times New Roman" w:hAnsi="Times New Roman" w:cs="Times New Roman"/>
          <w:color w:val="000000"/>
          <w:sz w:val="24"/>
          <w:szCs w:val="24"/>
        </w:rPr>
        <w:t>: Paroxysmal Supraventricular Tachycardia (PSVT) prevalence estimates based on chart audits of a single encounter, with ECG confirmation, may underestimate prevalence, given the episodic nature of PSVT. The objective of this study is to estimate PSVT prevalence in the U.S. using longitudinal data from a large employer-based claims data set. </w:t>
      </w:r>
    </w:p>
    <w:p w:rsidR="00C50C25" w:rsidRDefault="008412BF" w:rsidP="00C50C25">
      <w:pPr>
        <w:jc w:val="both"/>
        <w:rPr>
          <w:rFonts w:ascii="Times New Roman" w:eastAsia="Times New Roman" w:hAnsi="Times New Roman" w:cs="Times New Roman"/>
          <w:color w:val="000000"/>
          <w:sz w:val="24"/>
          <w:szCs w:val="24"/>
        </w:rPr>
      </w:pPr>
      <w:r w:rsidRPr="00C50C25">
        <w:rPr>
          <w:rFonts w:ascii="Times New Roman" w:eastAsia="Times New Roman" w:hAnsi="Times New Roman" w:cs="Times New Roman"/>
          <w:b/>
          <w:bCs/>
          <w:color w:val="000000"/>
          <w:sz w:val="24"/>
          <w:szCs w:val="24"/>
        </w:rPr>
        <w:t>Methods:</w:t>
      </w:r>
      <w:r w:rsidRPr="00C50C25">
        <w:rPr>
          <w:rFonts w:ascii="Times New Roman" w:eastAsia="Times New Roman" w:hAnsi="Times New Roman" w:cs="Times New Roman"/>
          <w:color w:val="000000"/>
          <w:sz w:val="24"/>
          <w:szCs w:val="24"/>
        </w:rPr>
        <w:t xml:space="preserve"> Data Source: Truven Health Analytics </w:t>
      </w:r>
      <w:proofErr w:type="spellStart"/>
      <w:r w:rsidRPr="00C50C25">
        <w:rPr>
          <w:rFonts w:ascii="Times New Roman" w:eastAsia="Times New Roman" w:hAnsi="Times New Roman" w:cs="Times New Roman"/>
          <w:color w:val="000000"/>
          <w:sz w:val="24"/>
          <w:szCs w:val="24"/>
        </w:rPr>
        <w:t>MarketScan</w:t>
      </w:r>
      <w:proofErr w:type="spellEnd"/>
      <w:r w:rsidRPr="00C50C25">
        <w:rPr>
          <w:rFonts w:ascii="Times New Roman" w:eastAsia="Times New Roman" w:hAnsi="Times New Roman" w:cs="Times New Roman"/>
          <w:color w:val="000000"/>
          <w:sz w:val="24"/>
          <w:szCs w:val="24"/>
        </w:rPr>
        <w:t xml:space="preserve"> databases, with demographic, enrollment, medical and prescription drug claim data for 89,800,000 commercially insured individuals over 4 years. Study population: Patients &lt; age 65 with a PSVT diagnosis (ICD-9: 427.0; ICD-10: I47.1) from October 2012 to September 2016. Prevalence: Age- and sex-adjusted ratios of PSVT patients to total number of individuals with insurance coverage in each year were used to calculate prevalence in the U.S. population. Patients with a PSVT diagnosis were counted in each year they were observable. Estimates were projected to the U.S. population by age and gender using U.S. census data. </w:t>
      </w:r>
    </w:p>
    <w:p w:rsidR="00C50C25" w:rsidRDefault="008412BF" w:rsidP="00C50C25">
      <w:pPr>
        <w:jc w:val="both"/>
        <w:rPr>
          <w:rFonts w:ascii="Times New Roman" w:eastAsia="Times New Roman" w:hAnsi="Times New Roman" w:cs="Times New Roman"/>
          <w:color w:val="000000"/>
          <w:sz w:val="24"/>
          <w:szCs w:val="24"/>
        </w:rPr>
      </w:pPr>
      <w:r w:rsidRPr="00C50C25">
        <w:rPr>
          <w:rFonts w:ascii="Times New Roman" w:eastAsia="Times New Roman" w:hAnsi="Times New Roman" w:cs="Times New Roman"/>
          <w:b/>
          <w:bCs/>
          <w:color w:val="000000"/>
          <w:sz w:val="24"/>
          <w:szCs w:val="24"/>
        </w:rPr>
        <w:t>Results:</w:t>
      </w:r>
      <w:r w:rsidRPr="00C50C25">
        <w:rPr>
          <w:rFonts w:ascii="Times New Roman" w:eastAsia="Times New Roman" w:hAnsi="Times New Roman" w:cs="Times New Roman"/>
          <w:color w:val="000000"/>
          <w:sz w:val="24"/>
          <w:szCs w:val="24"/>
        </w:rPr>
        <w:t> A total of 186,026 PSVT patients &lt; age 65 were identified in the claims data. When projected to the U.S. population, annual prevalence estimates ranged from 1,107,101 to 1,396,182. The majority of PSVT patients (61%) were female; most (62%) were age 41 to 64 (</w:t>
      </w:r>
      <w:r w:rsidRPr="00C50C25">
        <w:rPr>
          <w:rFonts w:ascii="Times New Roman" w:eastAsia="Times New Roman" w:hAnsi="Times New Roman" w:cs="Times New Roman"/>
          <w:b/>
          <w:bCs/>
          <w:color w:val="000000"/>
          <w:sz w:val="24"/>
          <w:szCs w:val="24"/>
        </w:rPr>
        <w:t>Table 1</w:t>
      </w:r>
      <w:r w:rsidRPr="00C50C25">
        <w:rPr>
          <w:rFonts w:ascii="Times New Roman" w:eastAsia="Times New Roman" w:hAnsi="Times New Roman" w:cs="Times New Roman"/>
          <w:color w:val="000000"/>
          <w:sz w:val="24"/>
          <w:szCs w:val="24"/>
        </w:rPr>
        <w:t>). </w:t>
      </w:r>
    </w:p>
    <w:p w:rsidR="00C50C25" w:rsidRPr="00C50C25" w:rsidRDefault="008412BF" w:rsidP="00C50C25">
      <w:pPr>
        <w:jc w:val="both"/>
        <w:rPr>
          <w:rFonts w:ascii="Times New Roman" w:eastAsia="Times New Roman" w:hAnsi="Times New Roman" w:cs="Times New Roman"/>
          <w:color w:val="000000"/>
          <w:sz w:val="24"/>
          <w:szCs w:val="24"/>
        </w:rPr>
      </w:pPr>
      <w:r w:rsidRPr="00C50C25">
        <w:rPr>
          <w:rFonts w:ascii="Times New Roman" w:eastAsia="Times New Roman" w:hAnsi="Times New Roman" w:cs="Times New Roman"/>
          <w:b/>
          <w:bCs/>
          <w:color w:val="000000"/>
          <w:sz w:val="24"/>
          <w:szCs w:val="24"/>
        </w:rPr>
        <w:t>Conclusion:</w:t>
      </w:r>
      <w:r w:rsidRPr="00C50C25">
        <w:rPr>
          <w:rFonts w:ascii="Times New Roman" w:eastAsia="Times New Roman" w:hAnsi="Times New Roman" w:cs="Times New Roman"/>
          <w:color w:val="000000"/>
          <w:sz w:val="24"/>
          <w:szCs w:val="24"/>
        </w:rPr>
        <w:t> Based on coded clinical diagnoses, PSVT affects 1.1 to 1.4 million individuals &lt; age 65 in the U.S. annually. Estimates that rely on a single medical encounter may underestimate PSVT prevalence. </w:t>
      </w:r>
    </w:p>
    <w:p w:rsidR="008412BF" w:rsidRPr="008C5B7C" w:rsidRDefault="008412BF" w:rsidP="00C50C25">
      <w:pPr>
        <w:rPr>
          <w:rFonts w:ascii="Times New Roman" w:eastAsia="Times New Roman" w:hAnsi="Times New Roman" w:cs="Times New Roman"/>
          <w:color w:val="000000"/>
          <w:sz w:val="16"/>
          <w:szCs w:val="16"/>
        </w:rPr>
      </w:pPr>
      <w:hyperlink r:id="rId6" w:tgtFrame="_blank" w:history="1">
        <w:r w:rsidRPr="008C5B7C">
          <w:rPr>
            <w:rFonts w:ascii="Times New Roman" w:eastAsia="Times New Roman" w:hAnsi="Times New Roman" w:cs="Times New Roman"/>
            <w:color w:val="0000FF"/>
            <w:sz w:val="16"/>
            <w:szCs w:val="16"/>
            <w:u w:val="single"/>
          </w:rPr>
          <w:br/>
        </w:r>
        <w:r w:rsidRPr="008C5B7C">
          <w:rPr>
            <w:rFonts w:ascii="Times New Roman" w:eastAsia="Times New Roman" w:hAnsi="Times New Roman" w:cs="Times New Roman"/>
            <w:noProof/>
            <w:color w:val="0000FF"/>
            <w:sz w:val="16"/>
            <w:szCs w:val="16"/>
          </w:rPr>
          <w:drawing>
            <wp:inline distT="0" distB="0" distL="0" distR="0" wp14:anchorId="17DD38DA" wp14:editId="1CDABCAB">
              <wp:extent cx="4309200" cy="2840400"/>
              <wp:effectExtent l="0" t="0" r="0" b="0"/>
              <wp:docPr id="58" name="Picture 58" descr="https://files.abstractsonline.com/CTRL/C7/5/508/E95/D38/4A7/AB9/055/013/F0C/EF2/0F/g503_1.jpg?noCache=2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iles.abstractsonline.com/CTRL/C7/5/508/E95/D38/4A7/AB9/055/013/F0C/EF2/0F/g503_1.jpg?noCache=27">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9200" cy="2840400"/>
                      </a:xfrm>
                      <a:prstGeom prst="rect">
                        <a:avLst/>
                      </a:prstGeom>
                      <a:noFill/>
                      <a:ln>
                        <a:noFill/>
                      </a:ln>
                    </pic:spPr>
                  </pic:pic>
                </a:graphicData>
              </a:graphic>
            </wp:inline>
          </w:drawing>
        </w:r>
      </w:hyperlink>
      <w:bookmarkStart w:id="0" w:name="_GoBack"/>
      <w:bookmarkEnd w:id="0"/>
    </w:p>
    <w:p w:rsidR="00345DBB" w:rsidRDefault="008022D9"/>
    <w:sectPr w:rsidR="00345D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2D9" w:rsidRDefault="008022D9" w:rsidP="00C50C25">
      <w:r>
        <w:separator/>
      </w:r>
    </w:p>
  </w:endnote>
  <w:endnote w:type="continuationSeparator" w:id="0">
    <w:p w:rsidR="008022D9" w:rsidRDefault="008022D9" w:rsidP="00C5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2D9" w:rsidRDefault="008022D9" w:rsidP="00C50C25">
      <w:r>
        <w:separator/>
      </w:r>
    </w:p>
  </w:footnote>
  <w:footnote w:type="continuationSeparator" w:id="0">
    <w:p w:rsidR="008022D9" w:rsidRDefault="008022D9" w:rsidP="00C5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25" w:rsidRPr="00C50C25" w:rsidRDefault="00C50C25" w:rsidP="00C50C25">
    <w:pPr>
      <w:rPr>
        <w:rFonts w:ascii="Times New Roman" w:eastAsia="Times New Roman" w:hAnsi="Times New Roman" w:cs="Times New Roman"/>
        <w:color w:val="000000"/>
        <w:sz w:val="24"/>
        <w:szCs w:val="24"/>
      </w:rPr>
    </w:pPr>
    <w:r w:rsidRPr="00C50C25">
      <w:rPr>
        <w:rFonts w:ascii="Times New Roman" w:eastAsia="Times New Roman" w:hAnsi="Times New Roman" w:cs="Times New Roman"/>
        <w:color w:val="000000"/>
        <w:sz w:val="24"/>
        <w:szCs w:val="24"/>
      </w:rPr>
      <w:t>18-A-503-IAC</w:t>
    </w:r>
  </w:p>
  <w:p w:rsidR="00C50C25" w:rsidRPr="00C50C25" w:rsidRDefault="00C50C25" w:rsidP="00C50C25">
    <w:pPr>
      <w:rPr>
        <w:rFonts w:ascii="Times New Roman" w:eastAsia="Times New Roman" w:hAnsi="Times New Roman" w:cs="Times New Roman"/>
        <w:color w:val="000000"/>
        <w:sz w:val="24"/>
        <w:szCs w:val="24"/>
      </w:rPr>
    </w:pPr>
    <w:r w:rsidRPr="00C50C25">
      <w:rPr>
        <w:rFonts w:ascii="Times New Roman" w:eastAsia="Times New Roman" w:hAnsi="Times New Roman" w:cs="Times New Roman"/>
        <w:color w:val="000000"/>
        <w:sz w:val="24"/>
        <w:szCs w:val="24"/>
      </w:rPr>
      <w:t>39. Cardiac Arrhythmias and Electrophysiology</w:t>
    </w:r>
  </w:p>
  <w:p w:rsidR="00C50C25" w:rsidRDefault="00C50C25">
    <w:pPr>
      <w:pStyle w:val="Header"/>
    </w:pPr>
  </w:p>
  <w:p w:rsidR="00C50C25" w:rsidRDefault="00C50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BF"/>
    <w:rsid w:val="0030401F"/>
    <w:rsid w:val="008022D9"/>
    <w:rsid w:val="008412BF"/>
    <w:rsid w:val="008A10D5"/>
    <w:rsid w:val="00A128E1"/>
    <w:rsid w:val="00C50C2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6411"/>
  <w15:chartTrackingRefBased/>
  <w15:docId w15:val="{758363CB-195E-475A-B468-87F0DE05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C25"/>
    <w:pPr>
      <w:tabs>
        <w:tab w:val="center" w:pos="4680"/>
        <w:tab w:val="right" w:pos="9360"/>
      </w:tabs>
    </w:pPr>
  </w:style>
  <w:style w:type="character" w:customStyle="1" w:styleId="HeaderChar">
    <w:name w:val="Header Char"/>
    <w:basedOn w:val="DefaultParagraphFont"/>
    <w:link w:val="Header"/>
    <w:uiPriority w:val="99"/>
    <w:rsid w:val="00C50C25"/>
  </w:style>
  <w:style w:type="paragraph" w:styleId="Footer">
    <w:name w:val="footer"/>
    <w:basedOn w:val="Normal"/>
    <w:link w:val="FooterChar"/>
    <w:uiPriority w:val="99"/>
    <w:unhideWhenUsed/>
    <w:rsid w:val="00C50C25"/>
    <w:pPr>
      <w:tabs>
        <w:tab w:val="center" w:pos="4680"/>
        <w:tab w:val="right" w:pos="9360"/>
      </w:tabs>
    </w:pPr>
  </w:style>
  <w:style w:type="character" w:customStyle="1" w:styleId="FooterChar">
    <w:name w:val="Footer Char"/>
    <w:basedOn w:val="DefaultParagraphFont"/>
    <w:link w:val="Footer"/>
    <w:uiPriority w:val="99"/>
    <w:rsid w:val="00C5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C7/5/508/E95/D38/4A7/AB9/055/013/F0C/EF2/0F/g503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2018-05-23T12:26:00Z</dcterms:created>
  <dcterms:modified xsi:type="dcterms:W3CDTF">2018-05-23T12:30:00Z</dcterms:modified>
</cp:coreProperties>
</file>